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144B" w14:textId="212EA8C8" w:rsidR="00002FAC" w:rsidRDefault="008F25BA" w:rsidP="008F25BA">
      <w:pPr>
        <w:tabs>
          <w:tab w:val="left" w:pos="709"/>
        </w:tabs>
        <w:ind w:right="99"/>
        <w:jc w:val="center"/>
        <w:rPr>
          <w:b/>
          <w:sz w:val="20"/>
          <w:u w:val="single"/>
        </w:rPr>
      </w:pPr>
      <w:r>
        <w:rPr>
          <w:b/>
          <w:sz w:val="20"/>
          <w:u w:val="single"/>
        </w:rPr>
        <w:t xml:space="preserve">Caso </w:t>
      </w:r>
      <w:r w:rsidR="00C40F83">
        <w:rPr>
          <w:b/>
          <w:sz w:val="20"/>
          <w:u w:val="single"/>
        </w:rPr>
        <w:t>Deras García</w:t>
      </w:r>
      <w:r>
        <w:rPr>
          <w:b/>
          <w:sz w:val="20"/>
          <w:u w:val="single"/>
        </w:rPr>
        <w:t xml:space="preserve"> y otros Vs. Honduras:</w:t>
      </w:r>
      <w:r w:rsidR="00002FAC">
        <w:rPr>
          <w:b/>
          <w:sz w:val="20"/>
          <w:u w:val="single"/>
        </w:rPr>
        <w:t xml:space="preserve"> </w:t>
      </w:r>
    </w:p>
    <w:p w14:paraId="3CAC6414" w14:textId="77777777" w:rsidR="00296F77" w:rsidRDefault="00002FAC" w:rsidP="008F25BA">
      <w:pPr>
        <w:tabs>
          <w:tab w:val="left" w:pos="709"/>
        </w:tabs>
        <w:ind w:right="99"/>
        <w:jc w:val="center"/>
      </w:pPr>
      <w:r>
        <w:rPr>
          <w:b/>
          <w:sz w:val="20"/>
          <w:u w:val="single"/>
        </w:rPr>
        <w:t>reparaciones pendientes de cumplimiento</w:t>
      </w:r>
    </w:p>
    <w:p w14:paraId="3C881D25" w14:textId="77777777" w:rsidR="00214AB7" w:rsidRDefault="00214AB7" w:rsidP="00296F77">
      <w:pPr>
        <w:tabs>
          <w:tab w:val="left" w:pos="709"/>
        </w:tabs>
        <w:ind w:right="99"/>
        <w:jc w:val="both"/>
      </w:pPr>
    </w:p>
    <w:p w14:paraId="293A7667" w14:textId="77777777" w:rsidR="00C40F83" w:rsidRDefault="00C40F83" w:rsidP="003E2FF4">
      <w:pPr>
        <w:jc w:val="both"/>
        <w:rPr>
          <w:sz w:val="20"/>
          <w:szCs w:val="32"/>
        </w:rPr>
      </w:pPr>
    </w:p>
    <w:p w14:paraId="431218C9" w14:textId="4822029B" w:rsidR="00C40F83" w:rsidRPr="00C40F83" w:rsidRDefault="00C40F83" w:rsidP="003E2FF4">
      <w:pPr>
        <w:jc w:val="both"/>
        <w:rPr>
          <w:sz w:val="20"/>
          <w:szCs w:val="32"/>
        </w:rPr>
      </w:pPr>
      <w:r>
        <w:rPr>
          <w:sz w:val="20"/>
          <w:szCs w:val="32"/>
        </w:rPr>
        <w:t>1</w:t>
      </w:r>
      <w:r w:rsidRPr="00C40F83">
        <w:rPr>
          <w:sz w:val="20"/>
          <w:szCs w:val="32"/>
        </w:rPr>
        <w:t xml:space="preserve">. </w:t>
      </w:r>
      <w:r w:rsidR="00856B6A">
        <w:rPr>
          <w:sz w:val="20"/>
          <w:szCs w:val="32"/>
        </w:rPr>
        <w:tab/>
      </w:r>
      <w:r w:rsidRPr="00C40F83">
        <w:rPr>
          <w:sz w:val="20"/>
          <w:szCs w:val="32"/>
        </w:rPr>
        <w:t xml:space="preserve">El Estado deberá, en un plazo razonable, investigar, identificar, juzgar y, en su caso, sancionar a todos los responsables de la ejecución extrajudicial del señor Herminio Deras García y a todos los responsables de las demás violaciones de derechos humanos declaradas en </w:t>
      </w:r>
      <w:r w:rsidR="006A3062">
        <w:rPr>
          <w:sz w:val="20"/>
          <w:szCs w:val="32"/>
        </w:rPr>
        <w:t>la</w:t>
      </w:r>
      <w:r w:rsidRPr="00C40F83">
        <w:rPr>
          <w:sz w:val="20"/>
          <w:szCs w:val="32"/>
        </w:rPr>
        <w:t xml:space="preserve"> Sentencia, en los términos de los párrafos 97 a 101 del Fallo. </w:t>
      </w:r>
    </w:p>
    <w:p w14:paraId="48920D91" w14:textId="77777777" w:rsidR="00C40F83" w:rsidRPr="00C40F83" w:rsidRDefault="00C40F83" w:rsidP="003E2FF4">
      <w:pPr>
        <w:jc w:val="both"/>
        <w:rPr>
          <w:sz w:val="20"/>
          <w:szCs w:val="32"/>
        </w:rPr>
      </w:pPr>
    </w:p>
    <w:p w14:paraId="19EAB2C2" w14:textId="5BCADDA8" w:rsidR="00C40F83" w:rsidRPr="00C40F83" w:rsidRDefault="00C40F83" w:rsidP="003E2FF4">
      <w:pPr>
        <w:jc w:val="both"/>
        <w:rPr>
          <w:sz w:val="20"/>
          <w:szCs w:val="32"/>
        </w:rPr>
      </w:pPr>
      <w:r>
        <w:rPr>
          <w:sz w:val="20"/>
          <w:szCs w:val="32"/>
        </w:rPr>
        <w:t>2</w:t>
      </w:r>
      <w:r w:rsidRPr="00C40F83">
        <w:rPr>
          <w:sz w:val="20"/>
          <w:szCs w:val="32"/>
        </w:rPr>
        <w:t xml:space="preserve">. </w:t>
      </w:r>
      <w:r w:rsidR="00856B6A">
        <w:rPr>
          <w:sz w:val="20"/>
          <w:szCs w:val="32"/>
        </w:rPr>
        <w:tab/>
      </w:r>
      <w:r w:rsidRPr="00C40F83">
        <w:rPr>
          <w:sz w:val="20"/>
          <w:szCs w:val="32"/>
        </w:rPr>
        <w:t xml:space="preserve">El Estado cerrará de manera definitiva, el expediente policial abierto en contra de las señoras Otilia Flores Ortiz y Elba Flores Ortiz de 26 de noviembre de 1981, así como los expedientes policiales y judiciales levantados contra los familiares del señor Herminio Deras García de 8 de junio de 1984, en los términos del párrafo 103 de la Sentencia. </w:t>
      </w:r>
    </w:p>
    <w:p w14:paraId="19D88EFA" w14:textId="77777777" w:rsidR="00C40F83" w:rsidRPr="00C40F83" w:rsidRDefault="00C40F83" w:rsidP="003E2FF4">
      <w:pPr>
        <w:jc w:val="both"/>
        <w:rPr>
          <w:sz w:val="20"/>
          <w:szCs w:val="32"/>
        </w:rPr>
      </w:pPr>
    </w:p>
    <w:p w14:paraId="1095654E" w14:textId="33B954C5" w:rsidR="00C40F83" w:rsidRPr="00C40F83" w:rsidRDefault="00C40F83" w:rsidP="003E2FF4">
      <w:pPr>
        <w:jc w:val="both"/>
        <w:rPr>
          <w:sz w:val="20"/>
          <w:szCs w:val="32"/>
        </w:rPr>
      </w:pPr>
      <w:r>
        <w:rPr>
          <w:sz w:val="20"/>
          <w:szCs w:val="32"/>
        </w:rPr>
        <w:t>3</w:t>
      </w:r>
      <w:r w:rsidRPr="00C40F83">
        <w:rPr>
          <w:sz w:val="20"/>
          <w:szCs w:val="32"/>
        </w:rPr>
        <w:t xml:space="preserve">. </w:t>
      </w:r>
      <w:r w:rsidR="00856B6A">
        <w:rPr>
          <w:sz w:val="20"/>
          <w:szCs w:val="32"/>
        </w:rPr>
        <w:tab/>
      </w:r>
      <w:r w:rsidRPr="00C40F83">
        <w:rPr>
          <w:sz w:val="20"/>
          <w:szCs w:val="32"/>
        </w:rPr>
        <w:t xml:space="preserve">El Estado brindará el tratamiento médico, psicológico y/o psiquiátrico que requieran las víctimas, en los términos de lo establecido en el párrafo 105 de </w:t>
      </w:r>
      <w:r w:rsidR="006A3062">
        <w:rPr>
          <w:sz w:val="20"/>
          <w:szCs w:val="32"/>
        </w:rPr>
        <w:t>la</w:t>
      </w:r>
      <w:r w:rsidRPr="00C40F83">
        <w:rPr>
          <w:sz w:val="20"/>
          <w:szCs w:val="32"/>
        </w:rPr>
        <w:t xml:space="preserve"> Sentencia. </w:t>
      </w:r>
    </w:p>
    <w:p w14:paraId="3E5D9850" w14:textId="77777777" w:rsidR="00C40F83" w:rsidRPr="00C40F83" w:rsidRDefault="00C40F83" w:rsidP="003E2FF4">
      <w:pPr>
        <w:jc w:val="both"/>
        <w:rPr>
          <w:sz w:val="20"/>
          <w:szCs w:val="32"/>
        </w:rPr>
      </w:pPr>
    </w:p>
    <w:p w14:paraId="0862A23D" w14:textId="7D03B31B" w:rsidR="00C40F83" w:rsidRPr="00C40F83" w:rsidRDefault="00C40F83" w:rsidP="003E2FF4">
      <w:pPr>
        <w:jc w:val="both"/>
        <w:rPr>
          <w:sz w:val="20"/>
          <w:szCs w:val="32"/>
        </w:rPr>
      </w:pPr>
      <w:r>
        <w:rPr>
          <w:sz w:val="20"/>
          <w:szCs w:val="32"/>
        </w:rPr>
        <w:t>4</w:t>
      </w:r>
      <w:r w:rsidRPr="00C40F83">
        <w:rPr>
          <w:sz w:val="20"/>
          <w:szCs w:val="32"/>
        </w:rPr>
        <w:t xml:space="preserve">. </w:t>
      </w:r>
      <w:r w:rsidR="00856B6A">
        <w:rPr>
          <w:sz w:val="20"/>
          <w:szCs w:val="32"/>
        </w:rPr>
        <w:tab/>
      </w:r>
      <w:r w:rsidRPr="00C40F83">
        <w:rPr>
          <w:sz w:val="20"/>
          <w:szCs w:val="32"/>
        </w:rPr>
        <w:t xml:space="preserve">El Estado construirá un mausoleo en la tumba del señor Herminio Deras García, en los términos del párrafo 110 de la Sentencia. </w:t>
      </w:r>
    </w:p>
    <w:p w14:paraId="75150B5E" w14:textId="77777777" w:rsidR="00C40F83" w:rsidRPr="00C40F83" w:rsidRDefault="00C40F83" w:rsidP="003E2FF4">
      <w:pPr>
        <w:jc w:val="both"/>
        <w:rPr>
          <w:sz w:val="20"/>
          <w:szCs w:val="32"/>
        </w:rPr>
      </w:pPr>
    </w:p>
    <w:p w14:paraId="22504CAC" w14:textId="69515D9C" w:rsidR="00C40F83" w:rsidRPr="00C40F83" w:rsidRDefault="00005679" w:rsidP="003E2FF4">
      <w:pPr>
        <w:jc w:val="both"/>
        <w:rPr>
          <w:sz w:val="20"/>
          <w:szCs w:val="32"/>
        </w:rPr>
      </w:pPr>
      <w:r>
        <w:rPr>
          <w:sz w:val="20"/>
          <w:szCs w:val="32"/>
        </w:rPr>
        <w:t>5</w:t>
      </w:r>
      <w:r w:rsidR="00C40F83" w:rsidRPr="00C40F83">
        <w:rPr>
          <w:sz w:val="20"/>
          <w:szCs w:val="32"/>
        </w:rPr>
        <w:t xml:space="preserve">. </w:t>
      </w:r>
      <w:r w:rsidR="00856B6A">
        <w:rPr>
          <w:sz w:val="20"/>
          <w:szCs w:val="32"/>
        </w:rPr>
        <w:tab/>
      </w:r>
      <w:r w:rsidR="00C40F83" w:rsidRPr="00C40F83">
        <w:rPr>
          <w:sz w:val="20"/>
          <w:szCs w:val="32"/>
        </w:rPr>
        <w:t xml:space="preserve">El Estado diseñará y ejecutará una política nacional de memoria histórica, en los términos del párrafo 113 de la Sentencia. </w:t>
      </w:r>
    </w:p>
    <w:p w14:paraId="1DDB926D" w14:textId="77777777" w:rsidR="00C40F83" w:rsidRPr="00C40F83" w:rsidRDefault="00C40F83" w:rsidP="003E2FF4">
      <w:pPr>
        <w:jc w:val="both"/>
        <w:rPr>
          <w:sz w:val="20"/>
          <w:szCs w:val="32"/>
        </w:rPr>
      </w:pPr>
    </w:p>
    <w:p w14:paraId="406077B6" w14:textId="7F78D2DA" w:rsidR="00C40F83" w:rsidRPr="00C40F83" w:rsidRDefault="00005679" w:rsidP="003E2FF4">
      <w:pPr>
        <w:jc w:val="both"/>
        <w:rPr>
          <w:sz w:val="20"/>
          <w:szCs w:val="32"/>
        </w:rPr>
      </w:pPr>
      <w:r>
        <w:rPr>
          <w:sz w:val="20"/>
          <w:szCs w:val="32"/>
        </w:rPr>
        <w:t>6</w:t>
      </w:r>
      <w:r w:rsidR="00C40F83" w:rsidRPr="00C40F83">
        <w:rPr>
          <w:sz w:val="20"/>
          <w:szCs w:val="32"/>
        </w:rPr>
        <w:t xml:space="preserve">. </w:t>
      </w:r>
      <w:r w:rsidR="00856B6A">
        <w:rPr>
          <w:sz w:val="20"/>
          <w:szCs w:val="32"/>
        </w:rPr>
        <w:tab/>
      </w:r>
      <w:r w:rsidR="00C40F83" w:rsidRPr="00C40F83">
        <w:rPr>
          <w:sz w:val="20"/>
          <w:szCs w:val="32"/>
        </w:rPr>
        <w:t xml:space="preserve">El Estado adecuará el Código Penal vigente, en los términos del párrafo 114 de la Sentencia. </w:t>
      </w:r>
    </w:p>
    <w:p w14:paraId="771D1B85" w14:textId="77777777" w:rsidR="00C40F83" w:rsidRPr="00C40F83" w:rsidRDefault="00C40F83" w:rsidP="003E2FF4">
      <w:pPr>
        <w:jc w:val="both"/>
        <w:rPr>
          <w:sz w:val="20"/>
          <w:szCs w:val="32"/>
        </w:rPr>
      </w:pPr>
    </w:p>
    <w:p w14:paraId="02C6D6F6" w14:textId="366139CE" w:rsidR="00C40F83" w:rsidRPr="00C40F83" w:rsidRDefault="00005679" w:rsidP="003E2FF4">
      <w:pPr>
        <w:jc w:val="both"/>
        <w:rPr>
          <w:sz w:val="20"/>
          <w:szCs w:val="32"/>
        </w:rPr>
      </w:pPr>
      <w:r>
        <w:rPr>
          <w:sz w:val="20"/>
          <w:szCs w:val="32"/>
        </w:rPr>
        <w:t>7</w:t>
      </w:r>
      <w:r w:rsidR="00C40F83" w:rsidRPr="00C40F83">
        <w:rPr>
          <w:sz w:val="20"/>
          <w:szCs w:val="32"/>
        </w:rPr>
        <w:t xml:space="preserve">. </w:t>
      </w:r>
      <w:r w:rsidR="00856B6A">
        <w:rPr>
          <w:sz w:val="20"/>
          <w:szCs w:val="32"/>
        </w:rPr>
        <w:tab/>
      </w:r>
      <w:r w:rsidR="00C40F83" w:rsidRPr="00C40F83">
        <w:rPr>
          <w:sz w:val="20"/>
          <w:szCs w:val="32"/>
        </w:rPr>
        <w:t xml:space="preserve">El Estado creará e implementará una política de preservación de archivos y sitios sobre las violaciones de derechos humanos cometidas entre los años ochenta y el presente, en los términos del párrafo 115 de la Sentencia. </w:t>
      </w:r>
    </w:p>
    <w:p w14:paraId="7C6B1D7A" w14:textId="77777777" w:rsidR="00C40F83" w:rsidRPr="00C40F83" w:rsidRDefault="00C40F83" w:rsidP="003E2FF4">
      <w:pPr>
        <w:jc w:val="both"/>
        <w:rPr>
          <w:sz w:val="20"/>
          <w:szCs w:val="32"/>
        </w:rPr>
      </w:pPr>
    </w:p>
    <w:p w14:paraId="7E2FFBC6" w14:textId="5AEED391" w:rsidR="00C40F83" w:rsidRPr="00C40F83" w:rsidRDefault="00005679" w:rsidP="003E2FF4">
      <w:pPr>
        <w:jc w:val="both"/>
        <w:rPr>
          <w:sz w:val="20"/>
          <w:szCs w:val="32"/>
        </w:rPr>
      </w:pPr>
      <w:r>
        <w:rPr>
          <w:sz w:val="20"/>
          <w:szCs w:val="32"/>
        </w:rPr>
        <w:t>8</w:t>
      </w:r>
      <w:r w:rsidR="00C40F83" w:rsidRPr="00C40F83">
        <w:rPr>
          <w:sz w:val="20"/>
          <w:szCs w:val="32"/>
        </w:rPr>
        <w:t xml:space="preserve">. </w:t>
      </w:r>
      <w:r w:rsidR="00856B6A">
        <w:rPr>
          <w:sz w:val="20"/>
          <w:szCs w:val="32"/>
        </w:rPr>
        <w:tab/>
      </w:r>
      <w:r w:rsidR="00C40F83" w:rsidRPr="00C40F83">
        <w:rPr>
          <w:sz w:val="20"/>
          <w:szCs w:val="32"/>
        </w:rPr>
        <w:t xml:space="preserve">El Estado incorporará en el currículo educativo de la educación primaria y secundaria, “la historia de los períodos de violencia”, en los términos del párrafo 116 de la Sentencia. </w:t>
      </w:r>
    </w:p>
    <w:p w14:paraId="1246ADFF" w14:textId="77777777" w:rsidR="00C40F83" w:rsidRPr="00C40F83" w:rsidRDefault="00C40F83" w:rsidP="003E2FF4">
      <w:pPr>
        <w:jc w:val="both"/>
        <w:rPr>
          <w:sz w:val="20"/>
          <w:szCs w:val="32"/>
        </w:rPr>
      </w:pPr>
    </w:p>
    <w:p w14:paraId="321CC0AD" w14:textId="489FD2C4" w:rsidR="00D3440D" w:rsidRDefault="00005679" w:rsidP="003E2FF4">
      <w:pPr>
        <w:jc w:val="both"/>
        <w:rPr>
          <w:sz w:val="20"/>
          <w:szCs w:val="32"/>
        </w:rPr>
      </w:pPr>
      <w:r>
        <w:rPr>
          <w:sz w:val="20"/>
          <w:szCs w:val="32"/>
        </w:rPr>
        <w:t>9</w:t>
      </w:r>
      <w:r w:rsidR="00C40F83" w:rsidRPr="00C40F83">
        <w:rPr>
          <w:sz w:val="20"/>
          <w:szCs w:val="32"/>
        </w:rPr>
        <w:t xml:space="preserve">. </w:t>
      </w:r>
      <w:r w:rsidR="00856B6A">
        <w:rPr>
          <w:sz w:val="20"/>
          <w:szCs w:val="32"/>
        </w:rPr>
        <w:tab/>
      </w:r>
      <w:r w:rsidR="00C40F83" w:rsidRPr="00C40F83">
        <w:rPr>
          <w:sz w:val="20"/>
          <w:szCs w:val="32"/>
        </w:rPr>
        <w:t>El Estado pagará las cantidades fijadas en los párrafos 127</w:t>
      </w:r>
      <w:r w:rsidR="00DA5031">
        <w:rPr>
          <w:sz w:val="20"/>
          <w:szCs w:val="32"/>
        </w:rPr>
        <w:t xml:space="preserve"> y</w:t>
      </w:r>
      <w:r w:rsidR="00C40F83" w:rsidRPr="00C40F83">
        <w:rPr>
          <w:sz w:val="20"/>
          <w:szCs w:val="32"/>
        </w:rPr>
        <w:t xml:space="preserve"> 133 de la Sentencia, por concepto de daños materiales e inmateriales, en los términos de los párrafos 136 a 141 de la presente Sentencia.</w:t>
      </w:r>
    </w:p>
    <w:p w14:paraId="620D6D27" w14:textId="382152A7" w:rsidR="00DA5031" w:rsidRDefault="00DA5031" w:rsidP="003E2FF4">
      <w:pPr>
        <w:jc w:val="both"/>
        <w:rPr>
          <w:sz w:val="20"/>
          <w:szCs w:val="32"/>
        </w:rPr>
      </w:pPr>
    </w:p>
    <w:p w14:paraId="6CE51C4A" w14:textId="72214EFB" w:rsidR="00DA5031" w:rsidRDefault="00DA5031" w:rsidP="00DA5031">
      <w:pPr>
        <w:jc w:val="both"/>
        <w:rPr>
          <w:sz w:val="20"/>
          <w:szCs w:val="32"/>
        </w:rPr>
      </w:pPr>
      <w:r w:rsidRPr="00C40F83">
        <w:rPr>
          <w:sz w:val="20"/>
          <w:szCs w:val="32"/>
        </w:rPr>
        <w:t>1</w:t>
      </w:r>
      <w:r w:rsidR="00005679">
        <w:rPr>
          <w:sz w:val="20"/>
          <w:szCs w:val="32"/>
        </w:rPr>
        <w:t>0</w:t>
      </w:r>
      <w:r w:rsidRPr="00C40F83">
        <w:rPr>
          <w:sz w:val="20"/>
          <w:szCs w:val="32"/>
        </w:rPr>
        <w:t xml:space="preserve">. </w:t>
      </w:r>
      <w:r w:rsidR="00856B6A">
        <w:rPr>
          <w:sz w:val="20"/>
          <w:szCs w:val="32"/>
        </w:rPr>
        <w:tab/>
      </w:r>
      <w:r w:rsidRPr="00C40F83">
        <w:rPr>
          <w:sz w:val="20"/>
          <w:szCs w:val="32"/>
        </w:rPr>
        <w:t xml:space="preserve">El Estado pagará las cantidades fijadas en </w:t>
      </w:r>
      <w:r w:rsidR="00154104">
        <w:rPr>
          <w:sz w:val="20"/>
          <w:szCs w:val="32"/>
        </w:rPr>
        <w:t>el</w:t>
      </w:r>
      <w:r w:rsidRPr="00C40F83">
        <w:rPr>
          <w:sz w:val="20"/>
          <w:szCs w:val="32"/>
        </w:rPr>
        <w:t xml:space="preserve"> párrafo 134 de la presente Sentencia, por el reintegro de costas y gastos, en los términos de los párrafos 136 a 141 de la presente Sentencia.</w:t>
      </w:r>
    </w:p>
    <w:p w14:paraId="716C9034" w14:textId="77777777" w:rsidR="00DA5031" w:rsidRDefault="00DA5031" w:rsidP="003E2FF4">
      <w:pPr>
        <w:jc w:val="both"/>
        <w:rPr>
          <w:sz w:val="20"/>
          <w:szCs w:val="32"/>
        </w:rPr>
      </w:pPr>
    </w:p>
    <w:p w14:paraId="219F441F" w14:textId="7605308D" w:rsidR="00DA5031" w:rsidRDefault="00DA5031" w:rsidP="003E2FF4">
      <w:pPr>
        <w:jc w:val="both"/>
        <w:rPr>
          <w:sz w:val="20"/>
          <w:szCs w:val="32"/>
        </w:rPr>
      </w:pPr>
    </w:p>
    <w:p w14:paraId="40248284" w14:textId="77777777" w:rsidR="00DA5031" w:rsidRPr="00C40F83" w:rsidRDefault="00DA5031" w:rsidP="003E2FF4">
      <w:pPr>
        <w:jc w:val="both"/>
        <w:rPr>
          <w:sz w:val="24"/>
        </w:rPr>
      </w:pPr>
    </w:p>
    <w:sectPr w:rsidR="00DA5031" w:rsidRPr="00C40F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6DB8" w14:textId="77777777" w:rsidR="00890645" w:rsidRDefault="00890645" w:rsidP="009F7EF4">
      <w:r>
        <w:separator/>
      </w:r>
    </w:p>
  </w:endnote>
  <w:endnote w:type="continuationSeparator" w:id="0">
    <w:p w14:paraId="4FBF186C" w14:textId="77777777" w:rsidR="00890645" w:rsidRDefault="0089064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C5AC"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977479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18338" w14:textId="77777777" w:rsidR="00890645" w:rsidRDefault="00890645" w:rsidP="009F7EF4">
      <w:r>
        <w:separator/>
      </w:r>
    </w:p>
  </w:footnote>
  <w:footnote w:type="continuationSeparator" w:id="0">
    <w:p w14:paraId="4C091D9E" w14:textId="77777777" w:rsidR="00890645" w:rsidRDefault="0089064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0ACA55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02FAC">
          <w:rPr>
            <w:noProof/>
            <w:sz w:val="20"/>
            <w:szCs w:val="20"/>
          </w:rPr>
          <w:t>1</w:t>
        </w:r>
        <w:r w:rsidRPr="00675FE7">
          <w:rPr>
            <w:noProof/>
            <w:sz w:val="20"/>
            <w:szCs w:val="20"/>
          </w:rPr>
          <w:fldChar w:fldCharType="end"/>
        </w:r>
      </w:p>
    </w:sdtContent>
  </w:sdt>
  <w:p w14:paraId="0A4FAD30"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276509">
    <w:abstractNumId w:val="7"/>
  </w:num>
  <w:num w:numId="2" w16cid:durableId="1242327514">
    <w:abstractNumId w:val="2"/>
  </w:num>
  <w:num w:numId="3" w16cid:durableId="900291024">
    <w:abstractNumId w:val="5"/>
  </w:num>
  <w:num w:numId="4" w16cid:durableId="1468471302">
    <w:abstractNumId w:val="0"/>
  </w:num>
  <w:num w:numId="5" w16cid:durableId="1095714483">
    <w:abstractNumId w:val="1"/>
  </w:num>
  <w:num w:numId="6" w16cid:durableId="2009209562">
    <w:abstractNumId w:val="3"/>
  </w:num>
  <w:num w:numId="7" w16cid:durableId="2024240372">
    <w:abstractNumId w:val="4"/>
  </w:num>
  <w:num w:numId="8" w16cid:durableId="35130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05679"/>
    <w:rsid w:val="00055256"/>
    <w:rsid w:val="000930F6"/>
    <w:rsid w:val="00101CC6"/>
    <w:rsid w:val="001426AA"/>
    <w:rsid w:val="00154104"/>
    <w:rsid w:val="0017056A"/>
    <w:rsid w:val="001729AE"/>
    <w:rsid w:val="001F3394"/>
    <w:rsid w:val="00214AB7"/>
    <w:rsid w:val="00296F77"/>
    <w:rsid w:val="002B3295"/>
    <w:rsid w:val="002E376C"/>
    <w:rsid w:val="003A7E5E"/>
    <w:rsid w:val="003C561A"/>
    <w:rsid w:val="003D205B"/>
    <w:rsid w:val="003E2FF4"/>
    <w:rsid w:val="00474D04"/>
    <w:rsid w:val="00476F6E"/>
    <w:rsid w:val="004B7F2F"/>
    <w:rsid w:val="005A203D"/>
    <w:rsid w:val="005D1A85"/>
    <w:rsid w:val="00617B3E"/>
    <w:rsid w:val="006A3062"/>
    <w:rsid w:val="006A777A"/>
    <w:rsid w:val="006C38A6"/>
    <w:rsid w:val="006D416E"/>
    <w:rsid w:val="00792165"/>
    <w:rsid w:val="00834F1A"/>
    <w:rsid w:val="00856B6A"/>
    <w:rsid w:val="00876E46"/>
    <w:rsid w:val="00890645"/>
    <w:rsid w:val="008F25BA"/>
    <w:rsid w:val="00926FFB"/>
    <w:rsid w:val="009709F7"/>
    <w:rsid w:val="009832C0"/>
    <w:rsid w:val="009D22BE"/>
    <w:rsid w:val="009D6A26"/>
    <w:rsid w:val="009F7EF4"/>
    <w:rsid w:val="00A1649A"/>
    <w:rsid w:val="00A65986"/>
    <w:rsid w:val="00AA6B2F"/>
    <w:rsid w:val="00AE0035"/>
    <w:rsid w:val="00B11B9B"/>
    <w:rsid w:val="00B32A37"/>
    <w:rsid w:val="00B33305"/>
    <w:rsid w:val="00BA6BA9"/>
    <w:rsid w:val="00BC5824"/>
    <w:rsid w:val="00C40F83"/>
    <w:rsid w:val="00C4747D"/>
    <w:rsid w:val="00C66067"/>
    <w:rsid w:val="00C807CF"/>
    <w:rsid w:val="00D3440D"/>
    <w:rsid w:val="00DA5031"/>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D50E"/>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328</Words>
  <Characters>1805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20</cp:revision>
  <cp:lastPrinted>2021-06-30T19:04:00Z</cp:lastPrinted>
  <dcterms:created xsi:type="dcterms:W3CDTF">2018-07-09T19:23:00Z</dcterms:created>
  <dcterms:modified xsi:type="dcterms:W3CDTF">2024-05-09T17:05:00Z</dcterms:modified>
</cp:coreProperties>
</file>